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58"/>
        <w:gridCol w:w="1440"/>
        <w:gridCol w:w="7470"/>
      </w:tblGrid>
      <w:tr w:rsidR="00CC35F8" w:rsidRPr="00EE36C0" w:rsidTr="00970959">
        <w:trPr>
          <w:trHeight w:val="288"/>
        </w:trPr>
        <w:tc>
          <w:tcPr>
            <w:tcW w:w="1998" w:type="dxa"/>
            <w:gridSpan w:val="2"/>
          </w:tcPr>
          <w:p w:rsidR="00CC35F8" w:rsidRPr="00FB397A" w:rsidRDefault="00970959" w:rsidP="00970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 of Policy:</w:t>
            </w:r>
          </w:p>
        </w:tc>
        <w:tc>
          <w:tcPr>
            <w:tcW w:w="7470" w:type="dxa"/>
          </w:tcPr>
          <w:p w:rsidR="00CC35F8" w:rsidRPr="00EE36C0" w:rsidRDefault="007C4D3A" w:rsidP="007C4D3A">
            <w:pPr>
              <w:rPr>
                <w:b/>
                <w:sz w:val="22"/>
                <w:szCs w:val="22"/>
              </w:rPr>
            </w:pPr>
            <w:r w:rsidRPr="00EE36C0">
              <w:rPr>
                <w:b/>
                <w:sz w:val="22"/>
                <w:szCs w:val="22"/>
              </w:rPr>
              <w:t>The Blood Connection Response to Mass Casualty</w:t>
            </w:r>
          </w:p>
        </w:tc>
      </w:tr>
      <w:tr w:rsidR="00CC35F8" w:rsidRPr="00EE36C0" w:rsidTr="00970959">
        <w:trPr>
          <w:trHeight w:val="288"/>
        </w:trPr>
        <w:tc>
          <w:tcPr>
            <w:tcW w:w="1998" w:type="dxa"/>
            <w:gridSpan w:val="2"/>
          </w:tcPr>
          <w:p w:rsidR="00CC35F8" w:rsidRPr="00FB397A" w:rsidRDefault="00CC35F8" w:rsidP="001F339F">
            <w:pPr>
              <w:rPr>
                <w:b/>
                <w:sz w:val="22"/>
                <w:szCs w:val="22"/>
              </w:rPr>
            </w:pPr>
          </w:p>
        </w:tc>
        <w:tc>
          <w:tcPr>
            <w:tcW w:w="7470" w:type="dxa"/>
          </w:tcPr>
          <w:p w:rsidR="00CC35F8" w:rsidRPr="00EE36C0" w:rsidRDefault="00CC35F8" w:rsidP="001F339F">
            <w:pPr>
              <w:pStyle w:val="NormalWeb"/>
              <w:spacing w:line="260" w:lineRule="atLeast"/>
              <w:rPr>
                <w:b/>
                <w:sz w:val="22"/>
                <w:szCs w:val="22"/>
              </w:rPr>
            </w:pPr>
          </w:p>
        </w:tc>
      </w:tr>
      <w:tr w:rsidR="005B6807" w:rsidRPr="00EE36C0" w:rsidTr="00970959">
        <w:trPr>
          <w:trHeight w:val="288"/>
        </w:trPr>
        <w:tc>
          <w:tcPr>
            <w:tcW w:w="558" w:type="dxa"/>
          </w:tcPr>
          <w:p w:rsidR="005B6807" w:rsidRPr="00FB397A" w:rsidRDefault="005B6807" w:rsidP="001F339F">
            <w:pPr>
              <w:rPr>
                <w:b/>
                <w:sz w:val="22"/>
                <w:szCs w:val="22"/>
              </w:rPr>
            </w:pPr>
            <w:r w:rsidRPr="00FB397A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1440" w:type="dxa"/>
          </w:tcPr>
          <w:p w:rsidR="005B6807" w:rsidRPr="00FB397A" w:rsidRDefault="005B6807" w:rsidP="001F339F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  <w:r w:rsidRPr="00FB397A">
              <w:rPr>
                <w:b/>
                <w:sz w:val="22"/>
                <w:szCs w:val="22"/>
              </w:rPr>
              <w:t>Purpose:</w:t>
            </w:r>
          </w:p>
        </w:tc>
        <w:tc>
          <w:tcPr>
            <w:tcW w:w="7470" w:type="dxa"/>
          </w:tcPr>
          <w:p w:rsidR="005B6807" w:rsidRPr="00A24CFC" w:rsidRDefault="00EB7203" w:rsidP="00A51767">
            <w:pPr>
              <w:pStyle w:val="NormalWeb"/>
              <w:spacing w:line="260" w:lineRule="atLeast"/>
              <w:rPr>
                <w:color w:val="000000"/>
                <w:sz w:val="22"/>
                <w:szCs w:val="22"/>
              </w:rPr>
            </w:pPr>
            <w:r w:rsidRPr="00A24CFC">
              <w:rPr>
                <w:color w:val="000000"/>
                <w:sz w:val="22"/>
                <w:szCs w:val="22"/>
              </w:rPr>
              <w:t>To respond to a mass casualty event in an organized manner to provide blood products and sustain support for injured patients in the affected areas.</w:t>
            </w:r>
            <w:r w:rsidR="00517A7A" w:rsidRPr="00A24CF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B6807" w:rsidRPr="00EE36C0" w:rsidTr="00970959">
        <w:trPr>
          <w:trHeight w:val="288"/>
        </w:trPr>
        <w:tc>
          <w:tcPr>
            <w:tcW w:w="558" w:type="dxa"/>
          </w:tcPr>
          <w:p w:rsidR="005B6807" w:rsidRPr="00FB397A" w:rsidRDefault="005B6807" w:rsidP="001F339F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B6807" w:rsidRPr="00FB397A" w:rsidRDefault="005B6807" w:rsidP="001F339F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7470" w:type="dxa"/>
          </w:tcPr>
          <w:p w:rsidR="005B6807" w:rsidRPr="00A24CFC" w:rsidRDefault="005B6807" w:rsidP="001F339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B6807" w:rsidRPr="00EE36C0" w:rsidTr="00970959">
        <w:trPr>
          <w:trHeight w:val="288"/>
        </w:trPr>
        <w:tc>
          <w:tcPr>
            <w:tcW w:w="558" w:type="dxa"/>
          </w:tcPr>
          <w:p w:rsidR="005B6807" w:rsidRPr="00FB397A" w:rsidRDefault="005B6807" w:rsidP="001F339F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  <w:r w:rsidRPr="00FB397A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440" w:type="dxa"/>
          </w:tcPr>
          <w:p w:rsidR="005B6807" w:rsidRPr="00FB397A" w:rsidRDefault="005B6807" w:rsidP="001F339F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  <w:r w:rsidRPr="00FB397A">
              <w:rPr>
                <w:b/>
                <w:sz w:val="22"/>
                <w:szCs w:val="22"/>
              </w:rPr>
              <w:t>Application:</w:t>
            </w:r>
          </w:p>
        </w:tc>
        <w:tc>
          <w:tcPr>
            <w:tcW w:w="7470" w:type="dxa"/>
          </w:tcPr>
          <w:p w:rsidR="005B6807" w:rsidRDefault="00EB7203" w:rsidP="004B15B5">
            <w:pPr>
              <w:rPr>
                <w:sz w:val="22"/>
                <w:szCs w:val="22"/>
              </w:rPr>
            </w:pPr>
            <w:r w:rsidRPr="00A24CFC">
              <w:rPr>
                <w:sz w:val="22"/>
                <w:szCs w:val="22"/>
              </w:rPr>
              <w:t xml:space="preserve">This policy applies to The Blood Connection </w:t>
            </w:r>
            <w:r w:rsidR="004B15B5" w:rsidRPr="00A24CFC">
              <w:rPr>
                <w:sz w:val="22"/>
                <w:szCs w:val="22"/>
              </w:rPr>
              <w:t>as a response to</w:t>
            </w:r>
            <w:r w:rsidRPr="00A24CFC">
              <w:rPr>
                <w:sz w:val="22"/>
                <w:szCs w:val="22"/>
              </w:rPr>
              <w:t xml:space="preserve"> </w:t>
            </w:r>
            <w:r w:rsidR="004B15B5" w:rsidRPr="00A24CFC">
              <w:rPr>
                <w:sz w:val="22"/>
                <w:szCs w:val="22"/>
              </w:rPr>
              <w:t>an event affecting a Hospital Partner.</w:t>
            </w:r>
            <w:r w:rsidR="00125DDF">
              <w:rPr>
                <w:sz w:val="22"/>
                <w:szCs w:val="22"/>
              </w:rPr>
              <w:t xml:space="preserve">  This TBC policy is meant to be used in conjunction with the existing poli</w:t>
            </w:r>
            <w:r w:rsidR="00DA6056">
              <w:rPr>
                <w:sz w:val="22"/>
                <w:szCs w:val="22"/>
              </w:rPr>
              <w:t>cies of the affected hospitals and also the TBC COPE plan provided to all TBC staff.</w:t>
            </w:r>
          </w:p>
          <w:p w:rsidR="00DB439C" w:rsidRDefault="00DB439C" w:rsidP="004B15B5">
            <w:pPr>
              <w:rPr>
                <w:sz w:val="22"/>
                <w:szCs w:val="22"/>
              </w:rPr>
            </w:pPr>
          </w:p>
          <w:p w:rsidR="00DB439C" w:rsidRPr="00DB439C" w:rsidRDefault="00DB439C" w:rsidP="00DB439C">
            <w:pPr>
              <w:rPr>
                <w:b/>
                <w:i/>
                <w:sz w:val="22"/>
                <w:szCs w:val="22"/>
              </w:rPr>
            </w:pPr>
            <w:r w:rsidRPr="00DB439C">
              <w:rPr>
                <w:b/>
                <w:i/>
                <w:sz w:val="22"/>
                <w:szCs w:val="22"/>
              </w:rPr>
              <w:t xml:space="preserve">NOTE: Blood products will be shipped as necessary </w:t>
            </w:r>
            <w:r>
              <w:rPr>
                <w:b/>
                <w:i/>
                <w:sz w:val="22"/>
                <w:szCs w:val="22"/>
              </w:rPr>
              <w:t xml:space="preserve">throughout the duration of this policy. </w:t>
            </w:r>
            <w:r w:rsidR="00B5608D">
              <w:rPr>
                <w:b/>
                <w:i/>
                <w:sz w:val="22"/>
                <w:szCs w:val="22"/>
              </w:rPr>
              <w:t>Many of the steps of this policy will be performed simultaneously.</w:t>
            </w:r>
          </w:p>
        </w:tc>
      </w:tr>
      <w:tr w:rsidR="005B6807" w:rsidRPr="00EE36C0" w:rsidTr="00970959">
        <w:trPr>
          <w:trHeight w:val="288"/>
        </w:trPr>
        <w:tc>
          <w:tcPr>
            <w:tcW w:w="558" w:type="dxa"/>
          </w:tcPr>
          <w:p w:rsidR="005B6807" w:rsidRPr="00FB397A" w:rsidRDefault="005B6807" w:rsidP="001F339F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B6807" w:rsidRPr="00FB397A" w:rsidRDefault="005B6807" w:rsidP="001F339F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7470" w:type="dxa"/>
          </w:tcPr>
          <w:p w:rsidR="005B6807" w:rsidRPr="00A24CFC" w:rsidRDefault="005B6807" w:rsidP="00135DBE">
            <w:pPr>
              <w:rPr>
                <w:sz w:val="22"/>
                <w:szCs w:val="22"/>
              </w:rPr>
            </w:pPr>
          </w:p>
        </w:tc>
      </w:tr>
      <w:tr w:rsidR="005B6807" w:rsidRPr="00EE36C0" w:rsidTr="00970959">
        <w:trPr>
          <w:trHeight w:val="288"/>
        </w:trPr>
        <w:tc>
          <w:tcPr>
            <w:tcW w:w="558" w:type="dxa"/>
          </w:tcPr>
          <w:p w:rsidR="005B6807" w:rsidRPr="00FB397A" w:rsidRDefault="005B6807" w:rsidP="001F339F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  <w:r w:rsidRPr="00FB397A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1440" w:type="dxa"/>
          </w:tcPr>
          <w:p w:rsidR="005B6807" w:rsidRPr="00FB397A" w:rsidRDefault="005B6807" w:rsidP="001F339F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  <w:r w:rsidRPr="00FB397A">
              <w:rPr>
                <w:b/>
                <w:sz w:val="22"/>
                <w:szCs w:val="22"/>
              </w:rPr>
              <w:t>Policy:</w:t>
            </w:r>
          </w:p>
        </w:tc>
        <w:tc>
          <w:tcPr>
            <w:tcW w:w="7470" w:type="dxa"/>
          </w:tcPr>
          <w:p w:rsidR="005B6807" w:rsidRPr="00A24CFC" w:rsidRDefault="005B6807" w:rsidP="00135DBE">
            <w:pPr>
              <w:rPr>
                <w:sz w:val="22"/>
                <w:szCs w:val="22"/>
              </w:rPr>
            </w:pPr>
          </w:p>
        </w:tc>
      </w:tr>
      <w:tr w:rsidR="005B6807" w:rsidRPr="00EE36C0" w:rsidTr="00970959">
        <w:trPr>
          <w:cantSplit/>
          <w:trHeight w:val="288"/>
        </w:trPr>
        <w:tc>
          <w:tcPr>
            <w:tcW w:w="558" w:type="dxa"/>
          </w:tcPr>
          <w:p w:rsidR="005B6807" w:rsidRPr="00FB397A" w:rsidRDefault="005B6807" w:rsidP="00FB397A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B6807" w:rsidRPr="00FB397A" w:rsidRDefault="00FB397A" w:rsidP="00FB397A">
            <w:pPr>
              <w:tabs>
                <w:tab w:val="left" w:pos="0"/>
              </w:tabs>
              <w:ind w:left="-18"/>
              <w:jc w:val="right"/>
              <w:rPr>
                <w:b/>
                <w:sz w:val="22"/>
                <w:szCs w:val="22"/>
              </w:rPr>
            </w:pPr>
            <w:r w:rsidRPr="00FB397A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7470" w:type="dxa"/>
          </w:tcPr>
          <w:p w:rsidR="005B6807" w:rsidRPr="00A24CFC" w:rsidRDefault="00070292" w:rsidP="008C7FD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24CFC">
              <w:rPr>
                <w:b/>
                <w:sz w:val="22"/>
                <w:szCs w:val="22"/>
              </w:rPr>
              <w:t xml:space="preserve">Evaluate </w:t>
            </w:r>
            <w:r w:rsidR="00EE36C0" w:rsidRPr="00A24CFC">
              <w:rPr>
                <w:b/>
                <w:sz w:val="22"/>
                <w:szCs w:val="22"/>
              </w:rPr>
              <w:t>Scope of Disaster</w:t>
            </w:r>
          </w:p>
          <w:p w:rsidR="00EE36C0" w:rsidRPr="00A24CFC" w:rsidRDefault="00EE36C0" w:rsidP="00BC246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 w:rsidRPr="00A24CFC">
              <w:rPr>
                <w:rFonts w:ascii="Times New Roman" w:hAnsi="Times New Roman"/>
              </w:rPr>
              <w:t>The scope of the disaster will be evaluated based on information provided from emergency management agencies (EMS’s) at the local, state and federal agencies involved with disaster planning.</w:t>
            </w:r>
          </w:p>
          <w:p w:rsidR="00BC2461" w:rsidRPr="00A24CFC" w:rsidRDefault="00BC2461" w:rsidP="00BC246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 w:rsidRPr="00A24CFC">
              <w:rPr>
                <w:rFonts w:ascii="Times New Roman" w:hAnsi="Times New Roman"/>
              </w:rPr>
              <w:t>If the blood provider has the advantage of forewarning (e.g., hurricane warnings), blood products will be stocked in the patient care areas ahead of time based on storage capacity.</w:t>
            </w:r>
          </w:p>
        </w:tc>
      </w:tr>
      <w:tr w:rsidR="00FB397A" w:rsidRPr="00EE36C0" w:rsidTr="00970959">
        <w:trPr>
          <w:cantSplit/>
          <w:trHeight w:val="288"/>
        </w:trPr>
        <w:tc>
          <w:tcPr>
            <w:tcW w:w="558" w:type="dxa"/>
          </w:tcPr>
          <w:p w:rsidR="00FB397A" w:rsidRPr="00FB397A" w:rsidRDefault="00FB397A" w:rsidP="00FB397A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B397A" w:rsidRPr="00FB397A" w:rsidRDefault="00FB397A" w:rsidP="00FB397A">
            <w:pPr>
              <w:tabs>
                <w:tab w:val="left" w:pos="0"/>
              </w:tabs>
              <w:ind w:left="-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70" w:type="dxa"/>
          </w:tcPr>
          <w:p w:rsidR="00FB397A" w:rsidRPr="00A24CFC" w:rsidRDefault="00FB397A" w:rsidP="00FB397A">
            <w:pPr>
              <w:tabs>
                <w:tab w:val="left" w:pos="0"/>
              </w:tabs>
              <w:ind w:left="-18"/>
              <w:rPr>
                <w:sz w:val="22"/>
                <w:szCs w:val="22"/>
              </w:rPr>
            </w:pPr>
          </w:p>
        </w:tc>
      </w:tr>
      <w:tr w:rsidR="005B6807" w:rsidRPr="00EE36C0" w:rsidTr="00970959">
        <w:trPr>
          <w:cantSplit/>
          <w:trHeight w:val="288"/>
        </w:trPr>
        <w:tc>
          <w:tcPr>
            <w:tcW w:w="558" w:type="dxa"/>
          </w:tcPr>
          <w:p w:rsidR="005B6807" w:rsidRPr="00FB397A" w:rsidRDefault="005B6807" w:rsidP="00FB397A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B6807" w:rsidRPr="00FB397A" w:rsidRDefault="00FB397A" w:rsidP="00FB397A">
            <w:pPr>
              <w:tabs>
                <w:tab w:val="left" w:pos="0"/>
              </w:tabs>
              <w:ind w:left="-18"/>
              <w:jc w:val="right"/>
              <w:rPr>
                <w:b/>
                <w:sz w:val="22"/>
                <w:szCs w:val="22"/>
              </w:rPr>
            </w:pPr>
            <w:r w:rsidRPr="00FB397A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7470" w:type="dxa"/>
          </w:tcPr>
          <w:p w:rsidR="00EE36C0" w:rsidRPr="00A24CFC" w:rsidRDefault="00EE36C0" w:rsidP="00254978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  <w:r w:rsidRPr="00A24CFC">
              <w:rPr>
                <w:b/>
                <w:sz w:val="22"/>
                <w:szCs w:val="22"/>
              </w:rPr>
              <w:t>Determine Lines of Communication</w:t>
            </w:r>
            <w:r w:rsidR="00BC2461" w:rsidRPr="00A24CFC">
              <w:rPr>
                <w:b/>
                <w:sz w:val="22"/>
                <w:szCs w:val="22"/>
              </w:rPr>
              <w:t xml:space="preserve"> and </w:t>
            </w:r>
            <w:r w:rsidR="00A24CFC" w:rsidRPr="00A24CFC">
              <w:rPr>
                <w:b/>
                <w:sz w:val="22"/>
                <w:szCs w:val="22"/>
              </w:rPr>
              <w:t>Delivery Points</w:t>
            </w:r>
          </w:p>
          <w:p w:rsidR="00BC2461" w:rsidRPr="00A24CFC" w:rsidRDefault="00BC2461" w:rsidP="00BC2461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 w:rsidRPr="00A24CFC">
              <w:rPr>
                <w:rFonts w:ascii="Times New Roman" w:hAnsi="Times New Roman"/>
              </w:rPr>
              <w:t>TBC will determine if the hospital’s phone system is aff</w:t>
            </w:r>
            <w:r w:rsidR="00DA6056">
              <w:rPr>
                <w:rFonts w:ascii="Times New Roman" w:hAnsi="Times New Roman"/>
              </w:rPr>
              <w:t>ected by the disaster and if so, i</w:t>
            </w:r>
            <w:r w:rsidRPr="00A24CFC">
              <w:rPr>
                <w:rFonts w:ascii="Times New Roman" w:hAnsi="Times New Roman"/>
              </w:rPr>
              <w:t>dentify the alternative communication options listed in the TBC COPE manual.</w:t>
            </w:r>
          </w:p>
          <w:p w:rsidR="005B6807" w:rsidRPr="00A24CFC" w:rsidRDefault="00BC2461" w:rsidP="00BC2461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 w:rsidRPr="00A24CFC">
              <w:rPr>
                <w:rFonts w:ascii="Times New Roman" w:hAnsi="Times New Roman"/>
              </w:rPr>
              <w:t>TBC will determine if the immediate hospital area(s) is considered a restricted area, and if so, determine if hospital security has approved blood deliveries.</w:t>
            </w:r>
          </w:p>
          <w:p w:rsidR="00A24CFC" w:rsidRPr="00A24CFC" w:rsidRDefault="00A24CFC" w:rsidP="00A24CFC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 w:rsidRPr="00A24CFC">
              <w:rPr>
                <w:rFonts w:ascii="Times New Roman" w:hAnsi="Times New Roman"/>
              </w:rPr>
              <w:t xml:space="preserve">If necessary, TBC will determine </w:t>
            </w:r>
            <w:r>
              <w:rPr>
                <w:rFonts w:ascii="Times New Roman" w:hAnsi="Times New Roman"/>
              </w:rPr>
              <w:t xml:space="preserve">the location of a central staging area </w:t>
            </w:r>
            <w:r w:rsidRPr="00A24CFC">
              <w:rPr>
                <w:rFonts w:ascii="Times New Roman" w:hAnsi="Times New Roman"/>
              </w:rPr>
              <w:t>if an alternate delivery point is needed.</w:t>
            </w:r>
          </w:p>
        </w:tc>
      </w:tr>
      <w:tr w:rsidR="005B6807" w:rsidRPr="00EE36C0" w:rsidTr="00970959">
        <w:trPr>
          <w:cantSplit/>
          <w:trHeight w:val="288"/>
        </w:trPr>
        <w:tc>
          <w:tcPr>
            <w:tcW w:w="558" w:type="dxa"/>
          </w:tcPr>
          <w:p w:rsidR="005B6807" w:rsidRPr="00FB397A" w:rsidRDefault="005B6807" w:rsidP="00FB397A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B6807" w:rsidRPr="00FB397A" w:rsidRDefault="005B6807" w:rsidP="00DB439C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7470" w:type="dxa"/>
          </w:tcPr>
          <w:p w:rsidR="005B6807" w:rsidRPr="00EE36C0" w:rsidRDefault="005B6807" w:rsidP="00A24CF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5B6807" w:rsidRPr="00EE36C0" w:rsidTr="00970959">
        <w:trPr>
          <w:cantSplit/>
          <w:trHeight w:val="288"/>
        </w:trPr>
        <w:tc>
          <w:tcPr>
            <w:tcW w:w="558" w:type="dxa"/>
          </w:tcPr>
          <w:p w:rsidR="005B6807" w:rsidRPr="00FB397A" w:rsidRDefault="005B6807" w:rsidP="00FB397A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B6807" w:rsidRPr="00FB397A" w:rsidRDefault="00FB397A" w:rsidP="00FB397A">
            <w:pPr>
              <w:tabs>
                <w:tab w:val="left" w:pos="0"/>
              </w:tabs>
              <w:ind w:left="-18"/>
              <w:jc w:val="right"/>
              <w:rPr>
                <w:b/>
                <w:sz w:val="22"/>
                <w:szCs w:val="22"/>
              </w:rPr>
            </w:pPr>
            <w:r w:rsidRPr="00FB397A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7470" w:type="dxa"/>
          </w:tcPr>
          <w:p w:rsidR="005B6807" w:rsidRDefault="00984BF3" w:rsidP="000462B4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 Blood Need and Inventories</w:t>
            </w:r>
          </w:p>
          <w:p w:rsidR="00433020" w:rsidRPr="003937B0" w:rsidRDefault="00433020" w:rsidP="00CB2BC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b/>
              </w:rPr>
            </w:pPr>
            <w:r w:rsidRPr="003937B0">
              <w:rPr>
                <w:rFonts w:ascii="Times New Roman" w:hAnsi="Times New Roman"/>
              </w:rPr>
              <w:t>TBC will summarize</w:t>
            </w:r>
            <w:r w:rsidR="00984BF3" w:rsidRPr="003937B0">
              <w:rPr>
                <w:rFonts w:ascii="Times New Roman" w:hAnsi="Times New Roman"/>
              </w:rPr>
              <w:t xml:space="preserve"> </w:t>
            </w:r>
            <w:r w:rsidRPr="003937B0">
              <w:rPr>
                <w:rFonts w:ascii="Times New Roman" w:hAnsi="Times New Roman"/>
              </w:rPr>
              <w:t>blood assessment ne</w:t>
            </w:r>
            <w:r w:rsidR="003937B0">
              <w:rPr>
                <w:rFonts w:ascii="Times New Roman" w:hAnsi="Times New Roman"/>
              </w:rPr>
              <w:t xml:space="preserve">eds from the affected hospitals, particularly the estimated need of </w:t>
            </w:r>
            <w:r w:rsidR="00921A4A" w:rsidRPr="003937B0">
              <w:rPr>
                <w:rFonts w:ascii="Times New Roman" w:hAnsi="Times New Roman"/>
              </w:rPr>
              <w:t>type O.</w:t>
            </w:r>
          </w:p>
          <w:p w:rsidR="003937B0" w:rsidRPr="003937B0" w:rsidRDefault="003937B0" w:rsidP="00CB2BC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b/>
              </w:rPr>
            </w:pPr>
            <w:r>
              <w:rPr>
                <w:rFonts w:ascii="Times New Roman" w:hAnsi="Times New Roman"/>
              </w:rPr>
              <w:t xml:space="preserve">TBC will provide storage containers upon request of hospital if the </w:t>
            </w:r>
            <w:r w:rsidR="00B12352">
              <w:rPr>
                <w:rFonts w:ascii="Times New Roman" w:hAnsi="Times New Roman"/>
              </w:rPr>
              <w:t xml:space="preserve">hospital’s blood </w:t>
            </w:r>
            <w:r>
              <w:rPr>
                <w:rFonts w:ascii="Times New Roman" w:hAnsi="Times New Roman"/>
              </w:rPr>
              <w:t xml:space="preserve">storage </w:t>
            </w:r>
            <w:r w:rsidR="00B12352">
              <w:rPr>
                <w:rFonts w:ascii="Times New Roman" w:hAnsi="Times New Roman"/>
              </w:rPr>
              <w:t>areas are insufficient or compromised.</w:t>
            </w:r>
          </w:p>
          <w:p w:rsidR="00921A4A" w:rsidRPr="00921A4A" w:rsidRDefault="00921A4A" w:rsidP="0043302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b/>
              </w:rPr>
            </w:pPr>
            <w:r>
              <w:rPr>
                <w:rFonts w:ascii="Times New Roman" w:hAnsi="Times New Roman"/>
              </w:rPr>
              <w:t>TBC will determine if local blood supplies (headquarters, hub(s), and non-affected partner hospitals) will support the transfusion needs of the casualties for;</w:t>
            </w:r>
          </w:p>
          <w:p w:rsidR="00921A4A" w:rsidRDefault="00921A4A" w:rsidP="00921A4A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 w:rsidRPr="00921A4A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first 24 hours,</w:t>
            </w:r>
          </w:p>
          <w:p w:rsidR="00921A4A" w:rsidRDefault="00921A4A" w:rsidP="00921A4A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Days 1-10 and </w:t>
            </w:r>
          </w:p>
          <w:p w:rsidR="00125DDF" w:rsidRPr="00125DDF" w:rsidRDefault="00125DDF" w:rsidP="00340033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Days 10-30</w:t>
            </w:r>
            <w:r w:rsidR="00DB439C">
              <w:t xml:space="preserve">        </w:t>
            </w:r>
          </w:p>
          <w:p w:rsidR="00125DDF" w:rsidRPr="00125DDF" w:rsidRDefault="00125DDF" w:rsidP="00125DDF">
            <w:pPr>
              <w:tabs>
                <w:tab w:val="left" w:pos="0"/>
              </w:tabs>
            </w:pPr>
          </w:p>
        </w:tc>
      </w:tr>
      <w:tr w:rsidR="005B6807" w:rsidRPr="00EE36C0" w:rsidTr="00970959">
        <w:trPr>
          <w:cantSplit/>
          <w:trHeight w:val="288"/>
        </w:trPr>
        <w:tc>
          <w:tcPr>
            <w:tcW w:w="558" w:type="dxa"/>
          </w:tcPr>
          <w:p w:rsidR="005B6807" w:rsidRPr="00FB397A" w:rsidRDefault="005B6807" w:rsidP="00FB397A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B6807" w:rsidRPr="00FB397A" w:rsidRDefault="005B6807" w:rsidP="00FB397A">
            <w:pPr>
              <w:tabs>
                <w:tab w:val="left" w:pos="0"/>
              </w:tabs>
              <w:ind w:left="-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70" w:type="dxa"/>
          </w:tcPr>
          <w:p w:rsidR="005B6807" w:rsidRPr="00EE36C0" w:rsidRDefault="005B6807" w:rsidP="00921A4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5B6807" w:rsidRPr="00EE36C0" w:rsidTr="00970959">
        <w:trPr>
          <w:cantSplit/>
          <w:trHeight w:val="288"/>
        </w:trPr>
        <w:tc>
          <w:tcPr>
            <w:tcW w:w="558" w:type="dxa"/>
          </w:tcPr>
          <w:p w:rsidR="005B6807" w:rsidRPr="00FB397A" w:rsidRDefault="005B6807" w:rsidP="00FB397A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B6807" w:rsidRPr="00FB397A" w:rsidRDefault="00FB397A" w:rsidP="00FB397A">
            <w:pPr>
              <w:tabs>
                <w:tab w:val="left" w:pos="0"/>
              </w:tabs>
              <w:ind w:left="-18"/>
              <w:jc w:val="right"/>
              <w:rPr>
                <w:b/>
                <w:sz w:val="22"/>
                <w:szCs w:val="22"/>
              </w:rPr>
            </w:pPr>
            <w:r w:rsidRPr="00FB397A"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7470" w:type="dxa"/>
          </w:tcPr>
          <w:p w:rsidR="00736B68" w:rsidRDefault="00B5608D" w:rsidP="00BC2461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Continuation/Replenishment of Blood Supply </w:t>
            </w:r>
          </w:p>
          <w:p w:rsidR="00125DDF" w:rsidRPr="00B5608D" w:rsidRDefault="00B5608D" w:rsidP="00125DDF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</w:pPr>
            <w:r>
              <w:rPr>
                <w:rFonts w:ascii="Times New Roman" w:hAnsi="Times New Roman"/>
              </w:rPr>
              <w:t>TBC will ensure the continuity of inventory levels for the purpose of continuing disaster relief and/or replenishing affected inventories.</w:t>
            </w:r>
          </w:p>
          <w:p w:rsidR="00B5608D" w:rsidRPr="00B5608D" w:rsidRDefault="00B5608D" w:rsidP="00125DDF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</w:pPr>
            <w:r>
              <w:rPr>
                <w:rFonts w:ascii="Times New Roman" w:hAnsi="Times New Roman"/>
              </w:rPr>
              <w:t>TBC Collections Staff will provide the public with necessary information concerning the need (or not) for blood donors.</w:t>
            </w:r>
          </w:p>
          <w:p w:rsidR="00B5608D" w:rsidRPr="00CE57B0" w:rsidRDefault="00B5608D" w:rsidP="00B5608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</w:pPr>
            <w:r>
              <w:rPr>
                <w:rFonts w:ascii="Times New Roman" w:hAnsi="Times New Roman"/>
              </w:rPr>
              <w:t xml:space="preserve">TBC Hospital Services Staff will contact and import blood as necessary from the Blood Centers of America (BCA) and </w:t>
            </w:r>
            <w:r w:rsidR="00CE57B0">
              <w:rPr>
                <w:rFonts w:ascii="Times New Roman" w:hAnsi="Times New Roman"/>
              </w:rPr>
              <w:t xml:space="preserve">National Blood Exchange (NBE) </w:t>
            </w:r>
            <w:r>
              <w:rPr>
                <w:rFonts w:ascii="Times New Roman" w:hAnsi="Times New Roman"/>
              </w:rPr>
              <w:t xml:space="preserve">members. </w:t>
            </w:r>
          </w:p>
          <w:p w:rsidR="00CE57B0" w:rsidRPr="00125DDF" w:rsidRDefault="00CE57B0" w:rsidP="00B5608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</w:pPr>
            <w:r>
              <w:rPr>
                <w:rFonts w:ascii="Times New Roman" w:hAnsi="Times New Roman"/>
              </w:rPr>
              <w:t>In the case of a disaster that has national impact, the AABB’s Interorganizational Task Force on Domestic Disasters and Acts of Terrorism is contacted and will provide a consistent message to the public and blood communities.</w:t>
            </w:r>
          </w:p>
        </w:tc>
      </w:tr>
      <w:tr w:rsidR="005B6807" w:rsidRPr="00EE36C0" w:rsidTr="00970959">
        <w:trPr>
          <w:cantSplit/>
          <w:trHeight w:val="288"/>
        </w:trPr>
        <w:tc>
          <w:tcPr>
            <w:tcW w:w="558" w:type="dxa"/>
          </w:tcPr>
          <w:p w:rsidR="005B6807" w:rsidRPr="00FB397A" w:rsidRDefault="005B6807" w:rsidP="00FB397A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B6807" w:rsidRPr="00FB397A" w:rsidRDefault="00736B68" w:rsidP="00736B68">
            <w:pPr>
              <w:tabs>
                <w:tab w:val="left" w:pos="0"/>
              </w:tabs>
              <w:ind w:left="-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E.</w:t>
            </w:r>
          </w:p>
        </w:tc>
        <w:tc>
          <w:tcPr>
            <w:tcW w:w="7470" w:type="dxa"/>
          </w:tcPr>
          <w:p w:rsidR="005B6807" w:rsidRDefault="00CE57B0" w:rsidP="00FB397A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Movement of Blood from Local Inventories to Affected Areas</w:t>
            </w:r>
          </w:p>
          <w:p w:rsidR="00CE57B0" w:rsidRPr="003937B0" w:rsidRDefault="00CE57B0" w:rsidP="00CE57B0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b/>
              </w:rPr>
            </w:pPr>
            <w:r>
              <w:rPr>
                <w:rFonts w:ascii="Times New Roman" w:hAnsi="Times New Roman"/>
              </w:rPr>
              <w:t xml:space="preserve">TBC will arrange the movement of blood from pre-determined local inventories to the designated delivery locations using TBC staff, local </w:t>
            </w:r>
            <w:r w:rsidR="003937B0">
              <w:rPr>
                <w:rFonts w:ascii="Times New Roman" w:hAnsi="Times New Roman"/>
              </w:rPr>
              <w:t>courier companies and volunteers when necessary.</w:t>
            </w:r>
          </w:p>
          <w:p w:rsidR="003937B0" w:rsidRPr="00CE57B0" w:rsidRDefault="003937B0" w:rsidP="00CE57B0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rPr>
                <w:b/>
              </w:rPr>
            </w:pPr>
            <w:r>
              <w:rPr>
                <w:rFonts w:ascii="Times New Roman" w:hAnsi="Times New Roman"/>
              </w:rPr>
              <w:t>TBC will contact the AABB’s Task Force for help with coordinating the movement of blood if the above means are not sufficient.</w:t>
            </w:r>
          </w:p>
        </w:tc>
      </w:tr>
      <w:tr w:rsidR="00FB397A" w:rsidRPr="00EE36C0" w:rsidTr="00970959">
        <w:trPr>
          <w:cantSplit/>
          <w:trHeight w:val="288"/>
        </w:trPr>
        <w:tc>
          <w:tcPr>
            <w:tcW w:w="558" w:type="dxa"/>
          </w:tcPr>
          <w:p w:rsidR="00FB397A" w:rsidRPr="00FB397A" w:rsidRDefault="00FB397A" w:rsidP="00455D93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B397A" w:rsidRPr="00FB397A" w:rsidRDefault="00FB397A" w:rsidP="00455D93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7470" w:type="dxa"/>
          </w:tcPr>
          <w:p w:rsidR="00FB397A" w:rsidRPr="00EE36C0" w:rsidRDefault="00FB397A" w:rsidP="00455D93">
            <w:pPr>
              <w:tabs>
                <w:tab w:val="left" w:pos="0"/>
              </w:tabs>
              <w:ind w:left="-18"/>
              <w:rPr>
                <w:sz w:val="22"/>
                <w:szCs w:val="22"/>
              </w:rPr>
            </w:pPr>
          </w:p>
        </w:tc>
      </w:tr>
      <w:tr w:rsidR="00FB397A" w:rsidRPr="00EE36C0" w:rsidTr="00970959">
        <w:trPr>
          <w:cantSplit/>
          <w:trHeight w:val="288"/>
        </w:trPr>
        <w:tc>
          <w:tcPr>
            <w:tcW w:w="558" w:type="dxa"/>
          </w:tcPr>
          <w:p w:rsidR="00FB397A" w:rsidRPr="00FB397A" w:rsidRDefault="00FB397A" w:rsidP="00455D93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B397A" w:rsidRPr="00FB397A" w:rsidRDefault="00FB397A" w:rsidP="00455D93">
            <w:pPr>
              <w:tabs>
                <w:tab w:val="left" w:pos="0"/>
              </w:tabs>
              <w:ind w:left="-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70" w:type="dxa"/>
          </w:tcPr>
          <w:p w:rsidR="00FB397A" w:rsidRPr="00EE36C0" w:rsidRDefault="00FB397A" w:rsidP="00455D93">
            <w:pPr>
              <w:tabs>
                <w:tab w:val="left" w:pos="0"/>
              </w:tabs>
              <w:ind w:left="-18"/>
              <w:rPr>
                <w:sz w:val="22"/>
                <w:szCs w:val="22"/>
              </w:rPr>
            </w:pPr>
          </w:p>
        </w:tc>
      </w:tr>
      <w:tr w:rsidR="00FB397A" w:rsidRPr="00EE36C0" w:rsidTr="00970959">
        <w:trPr>
          <w:cantSplit/>
          <w:trHeight w:val="288"/>
        </w:trPr>
        <w:tc>
          <w:tcPr>
            <w:tcW w:w="558" w:type="dxa"/>
          </w:tcPr>
          <w:p w:rsidR="00FB397A" w:rsidRPr="00FB397A" w:rsidRDefault="00FB397A" w:rsidP="00455D93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B397A" w:rsidRPr="00FB397A" w:rsidRDefault="00FB397A" w:rsidP="00455D93">
            <w:pPr>
              <w:tabs>
                <w:tab w:val="left" w:pos="0"/>
              </w:tabs>
              <w:ind w:left="-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70" w:type="dxa"/>
          </w:tcPr>
          <w:p w:rsidR="00FB397A" w:rsidRPr="00EE36C0" w:rsidRDefault="00FB397A" w:rsidP="00455D93">
            <w:pPr>
              <w:tabs>
                <w:tab w:val="left" w:pos="0"/>
              </w:tabs>
              <w:ind w:left="-18"/>
              <w:rPr>
                <w:sz w:val="22"/>
                <w:szCs w:val="22"/>
              </w:rPr>
            </w:pPr>
          </w:p>
        </w:tc>
      </w:tr>
      <w:tr w:rsidR="00FB397A" w:rsidRPr="00EE36C0" w:rsidTr="00970959">
        <w:trPr>
          <w:cantSplit/>
          <w:trHeight w:val="288"/>
        </w:trPr>
        <w:tc>
          <w:tcPr>
            <w:tcW w:w="558" w:type="dxa"/>
          </w:tcPr>
          <w:p w:rsidR="00FB397A" w:rsidRPr="00FB397A" w:rsidRDefault="00FB397A" w:rsidP="00455D93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B397A" w:rsidRPr="00FB397A" w:rsidRDefault="00FB397A" w:rsidP="00455D93">
            <w:pPr>
              <w:tabs>
                <w:tab w:val="left" w:pos="0"/>
              </w:tabs>
              <w:ind w:left="-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70" w:type="dxa"/>
          </w:tcPr>
          <w:p w:rsidR="00FB397A" w:rsidRPr="00EE36C0" w:rsidRDefault="00FB397A" w:rsidP="00FB397A">
            <w:pPr>
              <w:tabs>
                <w:tab w:val="left" w:pos="0"/>
              </w:tabs>
              <w:ind w:left="-18"/>
              <w:rPr>
                <w:sz w:val="22"/>
                <w:szCs w:val="22"/>
              </w:rPr>
            </w:pPr>
          </w:p>
        </w:tc>
      </w:tr>
      <w:tr w:rsidR="00FB397A" w:rsidRPr="00EE36C0" w:rsidTr="00970959">
        <w:trPr>
          <w:cantSplit/>
          <w:trHeight w:val="288"/>
        </w:trPr>
        <w:tc>
          <w:tcPr>
            <w:tcW w:w="558" w:type="dxa"/>
          </w:tcPr>
          <w:p w:rsidR="00FB397A" w:rsidRPr="00FB397A" w:rsidRDefault="00FB397A" w:rsidP="00455D93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B397A" w:rsidRPr="00FB397A" w:rsidRDefault="00FB397A" w:rsidP="00455D93">
            <w:pPr>
              <w:tabs>
                <w:tab w:val="left" w:pos="0"/>
              </w:tabs>
              <w:ind w:left="-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70" w:type="dxa"/>
          </w:tcPr>
          <w:p w:rsidR="00FB397A" w:rsidRPr="00EE36C0" w:rsidRDefault="00FB397A" w:rsidP="00455D93">
            <w:pPr>
              <w:tabs>
                <w:tab w:val="left" w:pos="0"/>
              </w:tabs>
              <w:ind w:left="-18"/>
              <w:rPr>
                <w:sz w:val="22"/>
                <w:szCs w:val="22"/>
              </w:rPr>
            </w:pPr>
          </w:p>
        </w:tc>
      </w:tr>
      <w:tr w:rsidR="00FB397A" w:rsidRPr="00EE36C0" w:rsidTr="00970959">
        <w:trPr>
          <w:cantSplit/>
          <w:trHeight w:val="288"/>
        </w:trPr>
        <w:tc>
          <w:tcPr>
            <w:tcW w:w="558" w:type="dxa"/>
          </w:tcPr>
          <w:p w:rsidR="00FB397A" w:rsidRPr="00FB397A" w:rsidRDefault="00FB397A" w:rsidP="00455D93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B397A" w:rsidRPr="00FB397A" w:rsidRDefault="00FB397A" w:rsidP="00455D93">
            <w:pPr>
              <w:tabs>
                <w:tab w:val="left" w:pos="0"/>
              </w:tabs>
              <w:ind w:left="-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70" w:type="dxa"/>
          </w:tcPr>
          <w:p w:rsidR="00FB397A" w:rsidRPr="00EE36C0" w:rsidRDefault="00FB397A" w:rsidP="00FB397A">
            <w:pPr>
              <w:tabs>
                <w:tab w:val="left" w:pos="0"/>
              </w:tabs>
              <w:ind w:left="-18"/>
              <w:rPr>
                <w:sz w:val="22"/>
                <w:szCs w:val="22"/>
              </w:rPr>
            </w:pPr>
          </w:p>
        </w:tc>
      </w:tr>
      <w:tr w:rsidR="00FB397A" w:rsidRPr="00EE36C0" w:rsidTr="00970959">
        <w:trPr>
          <w:cantSplit/>
          <w:trHeight w:val="288"/>
        </w:trPr>
        <w:tc>
          <w:tcPr>
            <w:tcW w:w="558" w:type="dxa"/>
          </w:tcPr>
          <w:p w:rsidR="00FB397A" w:rsidRPr="00FB397A" w:rsidRDefault="00FB397A" w:rsidP="00FB397A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B397A" w:rsidRPr="00FB397A" w:rsidRDefault="00FB397A" w:rsidP="00FB397A">
            <w:pPr>
              <w:tabs>
                <w:tab w:val="left" w:pos="0"/>
              </w:tabs>
              <w:ind w:left="-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70" w:type="dxa"/>
          </w:tcPr>
          <w:p w:rsidR="00FB397A" w:rsidRPr="00EE36C0" w:rsidRDefault="00FB397A" w:rsidP="00FB397A">
            <w:pPr>
              <w:tabs>
                <w:tab w:val="left" w:pos="0"/>
              </w:tabs>
              <w:ind w:left="-18"/>
              <w:rPr>
                <w:sz w:val="22"/>
                <w:szCs w:val="22"/>
              </w:rPr>
            </w:pPr>
          </w:p>
        </w:tc>
      </w:tr>
      <w:tr w:rsidR="00FB397A" w:rsidRPr="00EE36C0" w:rsidTr="00970959">
        <w:trPr>
          <w:cantSplit/>
          <w:trHeight w:val="288"/>
        </w:trPr>
        <w:tc>
          <w:tcPr>
            <w:tcW w:w="558" w:type="dxa"/>
          </w:tcPr>
          <w:p w:rsidR="00FB397A" w:rsidRPr="00FB397A" w:rsidRDefault="00FB397A" w:rsidP="00FB397A">
            <w:pPr>
              <w:tabs>
                <w:tab w:val="left" w:pos="0"/>
              </w:tabs>
              <w:ind w:left="-18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FB397A" w:rsidRPr="00FB397A" w:rsidRDefault="00FB397A" w:rsidP="00FB397A">
            <w:pPr>
              <w:tabs>
                <w:tab w:val="left" w:pos="0"/>
              </w:tabs>
              <w:ind w:left="-1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70" w:type="dxa"/>
          </w:tcPr>
          <w:p w:rsidR="00FB397A" w:rsidRPr="00EE36C0" w:rsidRDefault="00FB397A" w:rsidP="00FB397A">
            <w:pPr>
              <w:tabs>
                <w:tab w:val="left" w:pos="0"/>
              </w:tabs>
              <w:ind w:left="-18"/>
              <w:rPr>
                <w:sz w:val="22"/>
                <w:szCs w:val="22"/>
              </w:rPr>
            </w:pPr>
          </w:p>
        </w:tc>
      </w:tr>
    </w:tbl>
    <w:p w:rsidR="000D12E6" w:rsidRPr="00FB397A" w:rsidRDefault="000D12E6">
      <w:pPr>
        <w:rPr>
          <w:b/>
          <w:sz w:val="22"/>
          <w:szCs w:val="22"/>
        </w:rPr>
      </w:pPr>
    </w:p>
    <w:p w:rsidR="00767D53" w:rsidRPr="00FB397A" w:rsidRDefault="00767D53" w:rsidP="000D12E6">
      <w:pPr>
        <w:rPr>
          <w:sz w:val="22"/>
          <w:szCs w:val="22"/>
        </w:rPr>
      </w:pPr>
    </w:p>
    <w:sectPr w:rsidR="00767D53" w:rsidRPr="00FB397A" w:rsidSect="00AA5880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E4" w:rsidRDefault="001034E4" w:rsidP="00767D53">
      <w:r>
        <w:separator/>
      </w:r>
    </w:p>
  </w:endnote>
  <w:endnote w:type="continuationSeparator" w:id="0">
    <w:p w:rsidR="001034E4" w:rsidRDefault="001034E4" w:rsidP="0076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E4" w:rsidRDefault="001034E4" w:rsidP="00767D53">
      <w:r>
        <w:separator/>
      </w:r>
    </w:p>
  </w:footnote>
  <w:footnote w:type="continuationSeparator" w:id="0">
    <w:p w:rsidR="001034E4" w:rsidRDefault="001034E4" w:rsidP="0076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53" w:rsidRPr="00FB397A" w:rsidRDefault="00767D53" w:rsidP="00767D53">
    <w:pPr>
      <w:pStyle w:val="Header"/>
      <w:rPr>
        <w:b/>
        <w:bCs/>
        <w:sz w:val="22"/>
        <w:szCs w:val="22"/>
      </w:rPr>
    </w:pPr>
    <w:r w:rsidRPr="00FB397A">
      <w:rPr>
        <w:sz w:val="22"/>
        <w:szCs w:val="22"/>
      </w:rPr>
      <w:tab/>
      <w:t>The Blood Connection</w:t>
    </w:r>
    <w:r w:rsidRPr="00FB397A">
      <w:rPr>
        <w:sz w:val="22"/>
        <w:szCs w:val="22"/>
      </w:rPr>
      <w:tab/>
      <w:t xml:space="preserve">Page </w:t>
    </w:r>
    <w:r w:rsidRPr="00FB397A">
      <w:rPr>
        <w:b/>
        <w:bCs/>
        <w:sz w:val="22"/>
        <w:szCs w:val="22"/>
      </w:rPr>
      <w:fldChar w:fldCharType="begin"/>
    </w:r>
    <w:r w:rsidRPr="00FB397A">
      <w:rPr>
        <w:b/>
        <w:bCs/>
        <w:sz w:val="22"/>
        <w:szCs w:val="22"/>
      </w:rPr>
      <w:instrText xml:space="preserve"> PAGE </w:instrText>
    </w:r>
    <w:r w:rsidRPr="00FB397A">
      <w:rPr>
        <w:b/>
        <w:bCs/>
        <w:sz w:val="22"/>
        <w:szCs w:val="22"/>
      </w:rPr>
      <w:fldChar w:fldCharType="separate"/>
    </w:r>
    <w:r w:rsidR="00EB08F3">
      <w:rPr>
        <w:b/>
        <w:bCs/>
        <w:noProof/>
        <w:sz w:val="22"/>
        <w:szCs w:val="22"/>
      </w:rPr>
      <w:t>1</w:t>
    </w:r>
    <w:r w:rsidRPr="00FB397A">
      <w:rPr>
        <w:b/>
        <w:bCs/>
        <w:sz w:val="22"/>
        <w:szCs w:val="22"/>
      </w:rPr>
      <w:fldChar w:fldCharType="end"/>
    </w:r>
    <w:r w:rsidRPr="00FB397A">
      <w:rPr>
        <w:sz w:val="22"/>
        <w:szCs w:val="22"/>
      </w:rPr>
      <w:t xml:space="preserve"> of </w:t>
    </w:r>
    <w:r w:rsidRPr="00FB397A">
      <w:rPr>
        <w:b/>
        <w:bCs/>
        <w:sz w:val="22"/>
        <w:szCs w:val="22"/>
      </w:rPr>
      <w:fldChar w:fldCharType="begin"/>
    </w:r>
    <w:r w:rsidRPr="00FB397A">
      <w:rPr>
        <w:b/>
        <w:bCs/>
        <w:sz w:val="22"/>
        <w:szCs w:val="22"/>
      </w:rPr>
      <w:instrText xml:space="preserve"> NUMPAGES  </w:instrText>
    </w:r>
    <w:r w:rsidRPr="00FB397A">
      <w:rPr>
        <w:b/>
        <w:bCs/>
        <w:sz w:val="22"/>
        <w:szCs w:val="22"/>
      </w:rPr>
      <w:fldChar w:fldCharType="separate"/>
    </w:r>
    <w:r w:rsidR="00EB08F3">
      <w:rPr>
        <w:b/>
        <w:bCs/>
        <w:noProof/>
        <w:sz w:val="22"/>
        <w:szCs w:val="22"/>
      </w:rPr>
      <w:t>2</w:t>
    </w:r>
    <w:r w:rsidRPr="00FB397A">
      <w:rPr>
        <w:b/>
        <w:bCs/>
        <w:sz w:val="22"/>
        <w:szCs w:val="22"/>
      </w:rPr>
      <w:fldChar w:fldCharType="end"/>
    </w:r>
  </w:p>
  <w:p w:rsidR="00767D53" w:rsidRPr="00FB397A" w:rsidRDefault="00767D53" w:rsidP="00767D53">
    <w:pPr>
      <w:pStyle w:val="Header"/>
      <w:rPr>
        <w:sz w:val="22"/>
        <w:szCs w:val="22"/>
      </w:rPr>
    </w:pPr>
    <w:r w:rsidRPr="00FB397A">
      <w:rPr>
        <w:b/>
        <w:bCs/>
        <w:sz w:val="22"/>
        <w:szCs w:val="22"/>
      </w:rPr>
      <w:tab/>
    </w:r>
    <w:r w:rsidRPr="00FB397A">
      <w:rPr>
        <w:bCs/>
        <w:sz w:val="22"/>
        <w:szCs w:val="22"/>
      </w:rPr>
      <w:t>Piedmont, SC 29673</w:t>
    </w:r>
  </w:p>
  <w:p w:rsidR="00767D53" w:rsidRPr="00FB397A" w:rsidRDefault="00767D53" w:rsidP="00767D53">
    <w:pPr>
      <w:pStyle w:val="Header"/>
      <w:pBdr>
        <w:bottom w:val="triple" w:sz="6" w:space="1" w:color="auto"/>
      </w:pBdr>
      <w:rPr>
        <w:sz w:val="22"/>
        <w:szCs w:val="22"/>
      </w:rPr>
    </w:pPr>
  </w:p>
  <w:p w:rsidR="00767D53" w:rsidRPr="00FB397A" w:rsidRDefault="00767D5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4A4"/>
    <w:multiLevelType w:val="hybridMultilevel"/>
    <w:tmpl w:val="BBAE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CF05FC"/>
    <w:multiLevelType w:val="hybridMultilevel"/>
    <w:tmpl w:val="682A77D4"/>
    <w:lvl w:ilvl="0" w:tplc="D21C1440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23EF4EFF"/>
    <w:multiLevelType w:val="hybridMultilevel"/>
    <w:tmpl w:val="FCC47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67FF5"/>
    <w:multiLevelType w:val="hybridMultilevel"/>
    <w:tmpl w:val="571EA60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6157882"/>
    <w:multiLevelType w:val="hybridMultilevel"/>
    <w:tmpl w:val="9F006AE2"/>
    <w:lvl w:ilvl="0" w:tplc="C5560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D66A9"/>
    <w:multiLevelType w:val="hybridMultilevel"/>
    <w:tmpl w:val="8294FF92"/>
    <w:lvl w:ilvl="0" w:tplc="D21C1440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3D9C3CCC"/>
    <w:multiLevelType w:val="hybridMultilevel"/>
    <w:tmpl w:val="BBAE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460C77"/>
    <w:multiLevelType w:val="hybridMultilevel"/>
    <w:tmpl w:val="FCC47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11424"/>
    <w:multiLevelType w:val="hybridMultilevel"/>
    <w:tmpl w:val="BBAE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5B1EE0"/>
    <w:multiLevelType w:val="hybridMultilevel"/>
    <w:tmpl w:val="B0460038"/>
    <w:lvl w:ilvl="0" w:tplc="D21C1440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F8"/>
    <w:rsid w:val="000462B4"/>
    <w:rsid w:val="00070292"/>
    <w:rsid w:val="000C04A2"/>
    <w:rsid w:val="000D12E6"/>
    <w:rsid w:val="001034E4"/>
    <w:rsid w:val="00125DDF"/>
    <w:rsid w:val="00135DBE"/>
    <w:rsid w:val="00167D4D"/>
    <w:rsid w:val="00175863"/>
    <w:rsid w:val="00192637"/>
    <w:rsid w:val="00254978"/>
    <w:rsid w:val="003937B0"/>
    <w:rsid w:val="003E20A3"/>
    <w:rsid w:val="00433020"/>
    <w:rsid w:val="004B15B5"/>
    <w:rsid w:val="004E01E0"/>
    <w:rsid w:val="00517A7A"/>
    <w:rsid w:val="005B6807"/>
    <w:rsid w:val="00614060"/>
    <w:rsid w:val="006743FC"/>
    <w:rsid w:val="00700AD6"/>
    <w:rsid w:val="00736B68"/>
    <w:rsid w:val="00744D7A"/>
    <w:rsid w:val="00767D53"/>
    <w:rsid w:val="007C4D3A"/>
    <w:rsid w:val="00817402"/>
    <w:rsid w:val="008C7FDB"/>
    <w:rsid w:val="00921A4A"/>
    <w:rsid w:val="00970959"/>
    <w:rsid w:val="00984BF3"/>
    <w:rsid w:val="00A22469"/>
    <w:rsid w:val="00A24CFC"/>
    <w:rsid w:val="00A51767"/>
    <w:rsid w:val="00A87B70"/>
    <w:rsid w:val="00A92050"/>
    <w:rsid w:val="00AA5880"/>
    <w:rsid w:val="00AD0CD2"/>
    <w:rsid w:val="00B12352"/>
    <w:rsid w:val="00B27778"/>
    <w:rsid w:val="00B5608D"/>
    <w:rsid w:val="00B72D0C"/>
    <w:rsid w:val="00BC2461"/>
    <w:rsid w:val="00CC35F8"/>
    <w:rsid w:val="00CE57B0"/>
    <w:rsid w:val="00CF1645"/>
    <w:rsid w:val="00DA6056"/>
    <w:rsid w:val="00DB439C"/>
    <w:rsid w:val="00E167AE"/>
    <w:rsid w:val="00EB08F3"/>
    <w:rsid w:val="00EB7203"/>
    <w:rsid w:val="00EE36C0"/>
    <w:rsid w:val="00FB397A"/>
    <w:rsid w:val="00FB551E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C16735-F907-4BCE-872B-EEFD964F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35F8"/>
    <w:rPr>
      <w:b/>
    </w:rPr>
  </w:style>
  <w:style w:type="character" w:customStyle="1" w:styleId="BodyTextChar">
    <w:name w:val="Body Text Char"/>
    <w:basedOn w:val="DefaultParagraphFont"/>
    <w:link w:val="BodyText"/>
    <w:rsid w:val="00CC35F8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CC35F8"/>
    <w:pPr>
      <w:spacing w:before="100" w:beforeAutospacing="1" w:after="100" w:afterAutospacing="1"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C35F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F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AD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AD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7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D5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67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D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58CA-D192-4042-9F4C-E6865617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Clark</dc:creator>
  <cp:lastModifiedBy>Jerri Zepeda</cp:lastModifiedBy>
  <cp:revision>3</cp:revision>
  <cp:lastPrinted>2015-02-03T22:48:00Z</cp:lastPrinted>
  <dcterms:created xsi:type="dcterms:W3CDTF">2018-07-11T20:29:00Z</dcterms:created>
  <dcterms:modified xsi:type="dcterms:W3CDTF">2018-07-11T20:43:00Z</dcterms:modified>
</cp:coreProperties>
</file>